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34D7" w14:textId="77777777" w:rsidR="0065542D" w:rsidRPr="00221E7F" w:rsidRDefault="0065542D" w:rsidP="0065542D">
      <w:pPr>
        <w:suppressAutoHyphens/>
        <w:autoSpaceDN w:val="0"/>
        <w:spacing w:line="480" w:lineRule="exact"/>
        <w:ind w:right="113"/>
        <w:textAlignment w:val="baseline"/>
        <w:rPr>
          <w:rFonts w:ascii="標楷體" w:eastAsia="標楷體" w:hAnsi="標楷體" w:hint="eastAsia"/>
          <w:kern w:val="3"/>
          <w:sz w:val="36"/>
          <w:szCs w:val="36"/>
        </w:rPr>
      </w:pPr>
      <w:r w:rsidRPr="00221E7F">
        <w:rPr>
          <w:rFonts w:ascii="標楷體" w:eastAsia="標楷體" w:hAnsi="標楷體"/>
          <w:kern w:val="3"/>
          <w:sz w:val="28"/>
          <w:szCs w:val="20"/>
        </w:rPr>
        <w:t>附件十</w:t>
      </w:r>
      <w:r>
        <w:rPr>
          <w:rFonts w:ascii="標楷體" w:eastAsia="標楷體" w:hAnsi="標楷體" w:hint="eastAsia"/>
          <w:kern w:val="3"/>
          <w:sz w:val="28"/>
          <w:szCs w:val="20"/>
        </w:rPr>
        <w:t>三:</w:t>
      </w:r>
    </w:p>
    <w:p w14:paraId="16DE27A0" w14:textId="77777777" w:rsidR="0065542D" w:rsidRPr="00221E7F" w:rsidRDefault="0065542D" w:rsidP="0065542D">
      <w:pPr>
        <w:suppressAutoHyphens/>
        <w:autoSpaceDN w:val="0"/>
        <w:spacing w:line="360" w:lineRule="atLeast"/>
        <w:jc w:val="center"/>
        <w:textAlignment w:val="baseline"/>
        <w:rPr>
          <w:rFonts w:ascii="新細明體" w:hAnsi="新細明體"/>
          <w:b/>
          <w:kern w:val="3"/>
          <w:sz w:val="28"/>
          <w:szCs w:val="28"/>
        </w:rPr>
      </w:pPr>
      <w:r w:rsidRPr="00221E7F">
        <w:rPr>
          <w:rFonts w:ascii="新細明體" w:hAnsi="新細明體"/>
          <w:b/>
          <w:kern w:val="3"/>
          <w:sz w:val="28"/>
          <w:szCs w:val="28"/>
        </w:rPr>
        <w:t>◎APA第六版一般文獻格式◎</w:t>
      </w:r>
    </w:p>
    <w:p w14:paraId="63A2E0FE" w14:textId="77777777" w:rsidR="0065542D" w:rsidRPr="00221E7F" w:rsidRDefault="0065542D" w:rsidP="0065542D">
      <w:pPr>
        <w:suppressAutoHyphens/>
        <w:autoSpaceDN w:val="0"/>
        <w:spacing w:line="360" w:lineRule="atLeast"/>
        <w:jc w:val="righ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林天祐</w:t>
      </w:r>
    </w:p>
    <w:p w14:paraId="7A9E4F21" w14:textId="77777777" w:rsidR="0065542D" w:rsidRPr="00221E7F" w:rsidRDefault="0065542D" w:rsidP="0065542D">
      <w:pPr>
        <w:suppressAutoHyphens/>
        <w:autoSpaceDN w:val="0"/>
        <w:spacing w:line="360" w:lineRule="atLeast"/>
        <w:jc w:val="righ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台北市立師範學院國民教育研究所</w:t>
      </w:r>
    </w:p>
    <w:p w14:paraId="264EA38B" w14:textId="77777777" w:rsidR="0065542D" w:rsidRPr="00221E7F" w:rsidRDefault="0065542D" w:rsidP="0065542D">
      <w:pPr>
        <w:suppressAutoHyphens/>
        <w:autoSpaceDN w:val="0"/>
        <w:spacing w:line="360" w:lineRule="atLeast"/>
        <w:jc w:val="center"/>
        <w:textAlignment w:val="baseline"/>
        <w:rPr>
          <w:rFonts w:ascii="新細明體" w:hAnsi="新細明體"/>
          <w:b/>
          <w:kern w:val="3"/>
        </w:rPr>
      </w:pPr>
    </w:p>
    <w:p w14:paraId="31E4DD65" w14:textId="54C9C9C0" w:rsidR="0065542D" w:rsidRPr="00221E7F" w:rsidRDefault="0065542D" w:rsidP="0065542D">
      <w:pPr>
        <w:suppressAutoHyphens/>
        <w:autoSpaceDN w:val="0"/>
        <w:spacing w:line="360" w:lineRule="atLeast"/>
        <w:jc w:val="center"/>
        <w:textAlignment w:val="baseline"/>
        <w:rPr>
          <w:kern w:val="3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A5A7AC" wp14:editId="02A02576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485765" cy="0"/>
                <wp:effectExtent l="0" t="0" r="0" b="0"/>
                <wp:wrapNone/>
                <wp:docPr id="9" name="直線單箭頭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5765" cy="0"/>
                        </a:xfrm>
                        <a:prstGeom prst="straightConnector1">
                          <a:avLst/>
                        </a:prstGeom>
                        <a:noFill/>
                        <a:ln w="9363" cap="flat">
                          <a:solidFill>
                            <a:srgbClr val="000000"/>
                          </a:solidFill>
                          <a:custDash>
                            <a:ds d="279889" sp="279889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45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0;margin-top:-.15pt;width:43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" strokeweight=".26008mm">
                <o:lock v:ext="edit" shapetype="f"/>
              </v:shape>
            </w:pict>
          </mc:Fallback>
        </mc:AlternateContent>
      </w:r>
      <w:r w:rsidRPr="00221E7F">
        <w:rPr>
          <w:rFonts w:ascii="新細明體" w:hAnsi="新細明體"/>
          <w:b/>
          <w:kern w:val="3"/>
          <w:sz w:val="28"/>
          <w:szCs w:val="28"/>
        </w:rPr>
        <w:t>參考文獻</w:t>
      </w:r>
    </w:p>
    <w:p w14:paraId="340E33A0" w14:textId="77777777" w:rsidR="0065542D" w:rsidRPr="00221E7F" w:rsidRDefault="0065542D" w:rsidP="0065542D">
      <w:pPr>
        <w:suppressAutoHyphens/>
        <w:autoSpaceDN w:val="0"/>
        <w:spacing w:line="380" w:lineRule="atLeast"/>
        <w:ind w:right="65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壹、中文部分</w:t>
      </w:r>
    </w:p>
    <w:p w14:paraId="1FDF42FD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【書中的一篇文章】</w:t>
      </w:r>
    </w:p>
    <w:p w14:paraId="5319B0C9" w14:textId="77777777" w:rsidR="0065542D" w:rsidRPr="00221E7F" w:rsidRDefault="0065542D" w:rsidP="0065542D">
      <w:pPr>
        <w:suppressAutoHyphens/>
        <w:autoSpaceDN w:val="0"/>
        <w:spacing w:line="380" w:lineRule="atLeast"/>
        <w:ind w:left="151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呂木琳（1994）•有效安排教師在職進修因素檢西•載於中華民國教育學會主編，</w:t>
      </w:r>
      <w:r w:rsidRPr="00221E7F">
        <w:rPr>
          <w:rFonts w:ascii="新細明體" w:hAnsi="新細明體" w:cs="標楷體"/>
          <w:i/>
          <w:kern w:val="3"/>
        </w:rPr>
        <w:t>師範教育多元化與師資素質</w:t>
      </w:r>
      <w:r w:rsidRPr="00221E7F">
        <w:rPr>
          <w:rFonts w:ascii="新細明體" w:hAnsi="新細明體" w:cs="標楷體"/>
          <w:kern w:val="3"/>
        </w:rPr>
        <w:t>（59-78頁）•臺北市：師大書苑。</w:t>
      </w:r>
    </w:p>
    <w:p w14:paraId="1B9FF6CC" w14:textId="77777777" w:rsidR="0065542D" w:rsidRPr="00221E7F" w:rsidRDefault="0065542D" w:rsidP="0065542D">
      <w:pPr>
        <w:suppressAutoHyphens/>
        <w:autoSpaceDN w:val="0"/>
        <w:spacing w:line="380" w:lineRule="atLeast"/>
        <w:ind w:left="151" w:right="65" w:firstLine="2"/>
        <w:textAlignment w:val="baseline"/>
        <w:rPr>
          <w:rFonts w:ascii="新細明體" w:hAnsi="新細明體" w:cs="標楷體"/>
          <w:kern w:val="3"/>
        </w:rPr>
      </w:pPr>
    </w:p>
    <w:p w14:paraId="62CBB98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【一本書】</w:t>
      </w:r>
    </w:p>
    <w:p w14:paraId="3C99BD46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0FEED9C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吳明清（1996）•</w:t>
      </w:r>
      <w:r w:rsidRPr="00221E7F">
        <w:rPr>
          <w:rFonts w:ascii="新細明體" w:hAnsi="新細明體" w:cs="標楷體"/>
          <w:i/>
          <w:kern w:val="3"/>
        </w:rPr>
        <w:t>教育研究－基本觀念與方法分析</w:t>
      </w:r>
      <w:r w:rsidRPr="00221E7F">
        <w:rPr>
          <w:rFonts w:ascii="新細明體" w:hAnsi="新細明體" w:cs="標楷體"/>
          <w:kern w:val="3"/>
        </w:rPr>
        <w:t>•臺北市：五南。</w:t>
      </w:r>
    </w:p>
    <w:p w14:paraId="7EEE68F0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吳明清（2000）•</w:t>
      </w:r>
      <w:r w:rsidRPr="00221E7F">
        <w:rPr>
          <w:rFonts w:ascii="新細明體" w:hAnsi="新細明體" w:cs="標楷體"/>
          <w:i/>
          <w:kern w:val="3"/>
        </w:rPr>
        <w:t>教育研究－基本觀念與方法分析</w:t>
      </w:r>
      <w:r w:rsidRPr="00221E7F">
        <w:rPr>
          <w:rFonts w:ascii="新細明體" w:hAnsi="新細明體" w:cs="標楷體"/>
          <w:kern w:val="3"/>
        </w:rPr>
        <w:t>（2版）•臺北市：五南。</w:t>
      </w:r>
    </w:p>
    <w:p w14:paraId="1B3CB55A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03060269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【期刊文章】</w:t>
      </w:r>
    </w:p>
    <w:p w14:paraId="189718E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7A38746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吳明清（1990）•談組織效能之提升與校長角色•</w:t>
      </w:r>
      <w:r w:rsidRPr="00221E7F">
        <w:rPr>
          <w:rFonts w:ascii="新細明體" w:hAnsi="新細明體" w:cs="標楷體"/>
          <w:i/>
          <w:kern w:val="3"/>
        </w:rPr>
        <w:t>教師天地</w:t>
      </w:r>
      <w:r w:rsidRPr="00221E7F">
        <w:rPr>
          <w:rFonts w:ascii="新細明體" w:hAnsi="新細明體" w:cs="標楷體"/>
          <w:kern w:val="3"/>
        </w:rPr>
        <w:t>，46，46-48。</w:t>
      </w:r>
    </w:p>
    <w:p w14:paraId="57897719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吳清山、林天祐（2001a）•網路成癮•</w:t>
      </w:r>
      <w:r w:rsidRPr="00221E7F">
        <w:rPr>
          <w:rFonts w:ascii="新細明體" w:hAnsi="新細明體" w:cs="標楷體"/>
          <w:i/>
          <w:kern w:val="3"/>
        </w:rPr>
        <w:t>教育資料與研究</w:t>
      </w:r>
      <w:r w:rsidRPr="00221E7F">
        <w:rPr>
          <w:rFonts w:ascii="新細明體" w:hAnsi="新細明體" w:cs="標楷體"/>
          <w:b/>
          <w:kern w:val="3"/>
        </w:rPr>
        <w:t>，42</w:t>
      </w:r>
      <w:r w:rsidRPr="00221E7F">
        <w:rPr>
          <w:rFonts w:ascii="新細明體" w:hAnsi="新細明體" w:cs="標楷體"/>
          <w:kern w:val="3"/>
        </w:rPr>
        <w:t>，111。</w:t>
      </w:r>
    </w:p>
    <w:p w14:paraId="4FAADEDC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吳清山、林天祐（2001b）•網路輔導•</w:t>
      </w:r>
      <w:r w:rsidRPr="00221E7F">
        <w:rPr>
          <w:rFonts w:ascii="新細明體" w:hAnsi="新細明體" w:cs="標楷體"/>
          <w:i/>
          <w:kern w:val="3"/>
        </w:rPr>
        <w:t>教育資料與研究</w:t>
      </w:r>
      <w:r w:rsidRPr="00221E7F">
        <w:rPr>
          <w:rFonts w:ascii="新細明體" w:hAnsi="新細明體" w:cs="標楷體"/>
          <w:b/>
          <w:kern w:val="3"/>
        </w:rPr>
        <w:t>，42</w:t>
      </w:r>
      <w:r w:rsidRPr="00221E7F">
        <w:rPr>
          <w:rFonts w:ascii="新細明體" w:hAnsi="新細明體" w:cs="標楷體"/>
          <w:kern w:val="3"/>
        </w:rPr>
        <w:t>，112。</w:t>
      </w:r>
    </w:p>
    <w:p w14:paraId="69348386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黃敏晃（2014）•加與乘的遊戲•</w:t>
      </w:r>
      <w:r w:rsidRPr="00221E7F">
        <w:rPr>
          <w:rFonts w:ascii="新細明體" w:hAnsi="新細明體" w:cs="標楷體"/>
          <w:i/>
          <w:kern w:val="3"/>
        </w:rPr>
        <w:t>科學研習，53</w:t>
      </w:r>
      <w:r w:rsidRPr="00221E7F">
        <w:rPr>
          <w:rFonts w:ascii="新細明體" w:hAnsi="新細明體" w:cs="標楷體"/>
          <w:kern w:val="3"/>
        </w:rPr>
        <w:t>(7)，37-43。</w:t>
      </w:r>
    </w:p>
    <w:p w14:paraId="1EA69136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771D7CCF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【國科會報告】</w:t>
      </w:r>
    </w:p>
    <w:p w14:paraId="414A1A3E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52DD9EE7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吳清山、林天祐、黃三吉（2000）•</w:t>
      </w:r>
      <w:r w:rsidRPr="00221E7F">
        <w:rPr>
          <w:rFonts w:ascii="新細明體" w:hAnsi="新細明體" w:cs="標楷體"/>
          <w:i/>
          <w:kern w:val="3"/>
        </w:rPr>
        <w:t>國民中小學教師專業能力的評鑑與教師遴選之研究</w:t>
      </w:r>
      <w:r w:rsidRPr="00221E7F">
        <w:rPr>
          <w:rFonts w:ascii="新細明體" w:hAnsi="新細明體" w:cs="標楷體"/>
          <w:kern w:val="3"/>
        </w:rPr>
        <w:t>•（報告編號：NSC 88-2418-H-133-001-F19）•臺北：行政院國家科學委員會。</w:t>
      </w:r>
    </w:p>
    <w:p w14:paraId="1B25F0B7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19906C6E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【學位論文】</w:t>
      </w:r>
    </w:p>
    <w:p w14:paraId="549C8A88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47B63B1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柯正峰（1999）•</w:t>
      </w:r>
      <w:r w:rsidRPr="00221E7F">
        <w:rPr>
          <w:rFonts w:ascii="新細明體" w:hAnsi="新細明體" w:cs="標楷體"/>
          <w:i/>
          <w:kern w:val="3"/>
        </w:rPr>
        <w:t>我國邁向學習社會政策制訂之研究－政策問題形成、政策規劃及政策合法化探討</w:t>
      </w:r>
      <w:r w:rsidRPr="00221E7F">
        <w:rPr>
          <w:rFonts w:ascii="新細明體" w:hAnsi="新細明體" w:cs="標楷體"/>
          <w:kern w:val="3"/>
        </w:rPr>
        <w:t>(未出版的博士論文)•臺北：國立台灣師範大學社會教育學系。</w:t>
      </w:r>
    </w:p>
    <w:p w14:paraId="5CAC406F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5730D8EF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【政府出版品】</w:t>
      </w:r>
    </w:p>
    <w:p w14:paraId="07FF3746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64F821DD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教育部（2001）•</w:t>
      </w:r>
      <w:r w:rsidRPr="00221E7F">
        <w:rPr>
          <w:rFonts w:ascii="新細明體" w:hAnsi="新細明體" w:cs="標楷體"/>
          <w:i/>
          <w:kern w:val="3"/>
        </w:rPr>
        <w:t>中華民國教育統計</w:t>
      </w:r>
      <w:r w:rsidRPr="00221E7F">
        <w:rPr>
          <w:rFonts w:ascii="新細明體" w:hAnsi="新細明體" w:cs="標楷體"/>
          <w:kern w:val="3"/>
        </w:rPr>
        <w:t>•臺北市：作者。</w:t>
      </w:r>
    </w:p>
    <w:p w14:paraId="1E380649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【報紙】</w:t>
      </w:r>
    </w:p>
    <w:p w14:paraId="6655E0AE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07995BF7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陳揚盛（2001年2月20日）•基本學力測驗考慮加考國三下課程•</w:t>
      </w:r>
      <w:r w:rsidRPr="00221E7F">
        <w:rPr>
          <w:rFonts w:ascii="新細明體" w:hAnsi="新細明體" w:cs="標楷體"/>
          <w:i/>
          <w:kern w:val="3"/>
        </w:rPr>
        <w:t>台灣立報</w:t>
      </w:r>
      <w:r w:rsidRPr="00221E7F">
        <w:rPr>
          <w:rFonts w:ascii="新細明體" w:hAnsi="新細明體" w:cs="標楷體"/>
          <w:kern w:val="3"/>
        </w:rPr>
        <w:t>，4版。</w:t>
      </w:r>
    </w:p>
    <w:p w14:paraId="2169C3A9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7183F552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貳、英文部分</w:t>
      </w:r>
    </w:p>
    <w:p w14:paraId="6E673D34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09A3DBD2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【ERIC】</w:t>
      </w:r>
    </w:p>
    <w:p w14:paraId="6E34B85D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7791C703" w14:textId="77777777" w:rsidR="0065542D" w:rsidRPr="00221E7F" w:rsidRDefault="0065542D" w:rsidP="0065542D">
      <w:pPr>
        <w:suppressAutoHyphens/>
        <w:autoSpaceDN w:val="0"/>
        <w:spacing w:line="380" w:lineRule="atLeast"/>
        <w:ind w:left="600" w:hanging="60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Barker, B. O. (1986). </w:t>
      </w:r>
      <w:r w:rsidRPr="00221E7F">
        <w:rPr>
          <w:rFonts w:ascii="新細明體" w:hAnsi="新細明體"/>
          <w:i/>
          <w:kern w:val="3"/>
        </w:rPr>
        <w:t>The advantage of small schools</w:t>
      </w:r>
      <w:r w:rsidRPr="00221E7F">
        <w:rPr>
          <w:rFonts w:ascii="新細明體" w:hAnsi="新細明體"/>
          <w:kern w:val="3"/>
        </w:rPr>
        <w:t>. (ERIC Document Reproduction Service No. ED 265 988)</w:t>
      </w:r>
    </w:p>
    <w:p w14:paraId="2E8CA86A" w14:textId="77777777" w:rsidR="0065542D" w:rsidRPr="00221E7F" w:rsidRDefault="0065542D" w:rsidP="0065542D">
      <w:pPr>
        <w:suppressAutoHyphens/>
        <w:autoSpaceDN w:val="0"/>
        <w:spacing w:line="380" w:lineRule="atLeast"/>
        <w:ind w:left="600" w:hanging="600"/>
        <w:textAlignment w:val="baseline"/>
        <w:rPr>
          <w:rFonts w:ascii="新細明體" w:hAnsi="新細明體"/>
          <w:kern w:val="3"/>
        </w:rPr>
      </w:pPr>
    </w:p>
    <w:p w14:paraId="6525BAC1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【一本書】</w:t>
      </w:r>
    </w:p>
    <w:p w14:paraId="737A6C8E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3AA379C0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Barnard, C. I. (1971). </w:t>
      </w:r>
      <w:r w:rsidRPr="00221E7F">
        <w:rPr>
          <w:rFonts w:ascii="新細明體" w:hAnsi="新細明體"/>
          <w:i/>
          <w:kern w:val="3"/>
        </w:rPr>
        <w:t>The functions of the executive</w:t>
      </w:r>
      <w:r w:rsidRPr="00221E7F">
        <w:rPr>
          <w:rFonts w:ascii="新細明體" w:hAnsi="新細明體"/>
          <w:kern w:val="3"/>
        </w:rPr>
        <w:t>. Cambridge, MA: Harvard University Press.</w:t>
      </w:r>
    </w:p>
    <w:p w14:paraId="2C827F76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25609B00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【書中的一篇文章】</w:t>
      </w:r>
    </w:p>
    <w:p w14:paraId="06270D45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2334C15F" w14:textId="77777777" w:rsidR="0065542D" w:rsidRPr="00221E7F" w:rsidRDefault="0065542D" w:rsidP="0065542D">
      <w:pPr>
        <w:suppressAutoHyphens/>
        <w:autoSpaceDN w:val="0"/>
        <w:spacing w:line="380" w:lineRule="atLeast"/>
        <w:ind w:left="600" w:hanging="60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Creemers, B. P. M. (1992). School effectiveness, effective instruction and school improvement in the Netherlands. In D. Reynolds &amp; P. Cuttance (Eds.), </w:t>
      </w:r>
      <w:r w:rsidRPr="00221E7F">
        <w:rPr>
          <w:rFonts w:ascii="新細明體" w:hAnsi="新細明體"/>
          <w:i/>
          <w:kern w:val="3"/>
        </w:rPr>
        <w:t>School effectiveness: Research, policy and practice</w:t>
      </w:r>
      <w:r w:rsidRPr="00221E7F">
        <w:rPr>
          <w:rFonts w:ascii="新細明體" w:hAnsi="新細明體"/>
          <w:kern w:val="3"/>
        </w:rPr>
        <w:t xml:space="preserve"> (pp. 48-70). London: Cassell.</w:t>
      </w:r>
    </w:p>
    <w:p w14:paraId="39EB20EB" w14:textId="77777777" w:rsidR="0065542D" w:rsidRPr="00221E7F" w:rsidRDefault="0065542D" w:rsidP="0065542D">
      <w:pPr>
        <w:suppressAutoHyphens/>
        <w:autoSpaceDN w:val="0"/>
        <w:spacing w:line="380" w:lineRule="atLeast"/>
        <w:ind w:left="600" w:hanging="600"/>
        <w:textAlignment w:val="baseline"/>
        <w:rPr>
          <w:rFonts w:ascii="新細明體" w:hAnsi="新細明體"/>
          <w:kern w:val="3"/>
        </w:rPr>
      </w:pPr>
    </w:p>
    <w:p w14:paraId="0C5AB52F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【期刊文章】</w:t>
      </w:r>
    </w:p>
    <w:p w14:paraId="0EE58F70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17BC7A7B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Edmonds, R. R. (1982). Programs of school improvement: An overview. </w:t>
      </w:r>
      <w:r w:rsidRPr="00221E7F">
        <w:rPr>
          <w:rFonts w:ascii="新細明體" w:hAnsi="新細明體"/>
          <w:i/>
          <w:kern w:val="3"/>
        </w:rPr>
        <w:t>Educational Leadership, 40</w:t>
      </w:r>
      <w:r w:rsidRPr="00221E7F">
        <w:rPr>
          <w:rFonts w:ascii="新細明體" w:hAnsi="新細明體"/>
          <w:kern w:val="3"/>
        </w:rPr>
        <w:t>(3), 4-11.</w:t>
      </w:r>
    </w:p>
    <w:p w14:paraId="34B37C67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rFonts w:ascii="新細明體" w:hAnsi="新細明體"/>
          <w:kern w:val="3"/>
        </w:rPr>
      </w:pPr>
    </w:p>
    <w:p w14:paraId="64B84C57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【學位論文】</w:t>
      </w:r>
    </w:p>
    <w:p w14:paraId="0D55860B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2503FEB5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 xml:space="preserve">Hungerford, N. L. (1986). </w:t>
      </w:r>
      <w:r w:rsidRPr="00221E7F">
        <w:rPr>
          <w:rFonts w:ascii="新細明體" w:hAnsi="新細明體" w:cs="標楷體"/>
          <w:i/>
          <w:kern w:val="3"/>
        </w:rPr>
        <w:t>Factors perceived by teachers and administrators as stimulative and supportive of professional growth</w:t>
      </w:r>
      <w:r w:rsidRPr="00221E7F">
        <w:rPr>
          <w:rFonts w:ascii="新細明體" w:hAnsi="新細明體" w:cs="標楷體"/>
          <w:kern w:val="3"/>
        </w:rPr>
        <w:t>. (Unpublished doctoral dissertation)• State university of Michigan, East Lansing, Michigan.</w:t>
      </w:r>
    </w:p>
    <w:p w14:paraId="254F2DC3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699B5AAB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參、網路資源</w:t>
      </w:r>
    </w:p>
    <w:p w14:paraId="07F2413E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3BDA94F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一、中文部分</w:t>
      </w:r>
    </w:p>
    <w:p w14:paraId="4E1527F8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【公告事項】</w:t>
      </w:r>
    </w:p>
    <w:p w14:paraId="1CAB4111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0EBF932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訓委會（2001年2月16日）•</w:t>
      </w:r>
      <w:r w:rsidRPr="00221E7F">
        <w:rPr>
          <w:rFonts w:ascii="新細明體" w:hAnsi="新細明體" w:cs="標楷體"/>
          <w:b/>
          <w:kern w:val="3"/>
        </w:rPr>
        <w:t>「</w:t>
      </w:r>
      <w:r w:rsidRPr="00221E7F">
        <w:rPr>
          <w:rFonts w:ascii="新細明體" w:hAnsi="新細明體" w:cs="標楷體"/>
          <w:i/>
          <w:kern w:val="3"/>
        </w:rPr>
        <w:t>建立學生輔導新體制--教學、訓導、輔導三合一整合實驗方案</w:t>
      </w:r>
      <w:r w:rsidRPr="00221E7F">
        <w:rPr>
          <w:rFonts w:ascii="新細明體" w:hAnsi="新細明體" w:cs="標楷體"/>
          <w:kern w:val="3"/>
        </w:rPr>
        <w:t>」</w:t>
      </w:r>
      <w:r w:rsidRPr="00221E7F">
        <w:rPr>
          <w:rFonts w:ascii="新細明體" w:hAnsi="新細明體" w:cs="標楷體"/>
          <w:i/>
          <w:kern w:val="3"/>
        </w:rPr>
        <w:t>申請試辦及觀摩實施要點</w:t>
      </w:r>
      <w:r w:rsidRPr="00221E7F">
        <w:rPr>
          <w:rFonts w:ascii="新細明體" w:hAnsi="新細明體" w:cs="標楷體"/>
          <w:kern w:val="3"/>
        </w:rPr>
        <w:t>（修正版）[公告] •取自：</w:t>
      </w:r>
      <w:hyperlink r:id="rId6" w:history="1">
        <w:r w:rsidRPr="00221E7F">
          <w:rPr>
            <w:rFonts w:ascii="新細明體" w:hAnsi="新細明體" w:cs="標楷體"/>
            <w:color w:val="00000A"/>
            <w:kern w:val="3"/>
          </w:rPr>
          <w:t>http://www.edu.tw/</w:t>
        </w:r>
      </w:hyperlink>
      <w:r w:rsidRPr="00221E7F">
        <w:rPr>
          <w:rFonts w:ascii="新細明體" w:hAnsi="新細明體" w:cs="標楷體"/>
          <w:kern w:val="3"/>
        </w:rPr>
        <w:t>displ/bbs/ 三合一</w:t>
      </w:r>
      <w:r w:rsidRPr="00221E7F">
        <w:rPr>
          <w:rFonts w:ascii="新細明體" w:hAnsi="新細明體" w:cs="標楷體"/>
          <w:kern w:val="3"/>
        </w:rPr>
        <w:lastRenderedPageBreak/>
        <w:t>申請試辦要點修正版.doc</w:t>
      </w:r>
    </w:p>
    <w:p w14:paraId="27C3F312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2350AF6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【期刊文章】</w:t>
      </w:r>
    </w:p>
    <w:p w14:paraId="69663FFC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2B19585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黃士嘉（2000）•發展性之學校危機管理探究•</w:t>
      </w:r>
      <w:r w:rsidRPr="00221E7F">
        <w:rPr>
          <w:rFonts w:ascii="新細明體" w:hAnsi="新細明體" w:cs="標楷體"/>
          <w:i/>
          <w:kern w:val="3"/>
        </w:rPr>
        <w:t>教育資料與研究</w:t>
      </w:r>
      <w:r w:rsidRPr="00221E7F">
        <w:rPr>
          <w:rFonts w:ascii="新細明體" w:hAnsi="新細明體" w:cs="標楷體"/>
          <w:kern w:val="3"/>
        </w:rPr>
        <w:t>，37</w:t>
      </w:r>
      <w:r w:rsidRPr="00221E7F">
        <w:rPr>
          <w:rFonts w:ascii="新細明體" w:hAnsi="新細明體" w:cs="標楷體"/>
          <w:b/>
          <w:kern w:val="3"/>
        </w:rPr>
        <w:t>•</w:t>
      </w:r>
      <w:r w:rsidRPr="00221E7F">
        <w:rPr>
          <w:rFonts w:ascii="新細明體" w:hAnsi="新細明體" w:cs="標楷體"/>
          <w:kern w:val="3"/>
        </w:rPr>
        <w:t>取自</w:t>
      </w:r>
      <w:hyperlink r:id="rId7" w:history="1">
        <w:r w:rsidRPr="00221E7F">
          <w:rPr>
            <w:rFonts w:ascii="新細明體" w:hAnsi="新細明體" w:cs="標楷體"/>
            <w:color w:val="00000A"/>
            <w:kern w:val="3"/>
          </w:rPr>
          <w:t>http://www.nioerar.edu.tw/basis3/37/a11.htm</w:t>
        </w:r>
      </w:hyperlink>
    </w:p>
    <w:p w14:paraId="41C1C32B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</w:p>
    <w:p w14:paraId="416916C6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【雜誌文章】</w:t>
      </w:r>
    </w:p>
    <w:p w14:paraId="779B6EB6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20F33295" w14:textId="77777777" w:rsidR="0065542D" w:rsidRPr="00221E7F" w:rsidRDefault="0065542D" w:rsidP="0065542D">
      <w:pPr>
        <w:suppressAutoHyphens/>
        <w:autoSpaceDN w:val="0"/>
        <w:spacing w:line="380" w:lineRule="atLeast"/>
        <w:ind w:left="151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王力行（2001年2月20日）•落在世界隊伍的後面•</w:t>
      </w:r>
      <w:r w:rsidRPr="00221E7F">
        <w:rPr>
          <w:rFonts w:ascii="新細明體" w:hAnsi="新細明體" w:cs="標楷體"/>
          <w:i/>
          <w:kern w:val="3"/>
        </w:rPr>
        <w:t>遠見雜誌網</w:t>
      </w:r>
      <w:r w:rsidRPr="00221E7F">
        <w:rPr>
          <w:rFonts w:ascii="新細明體" w:hAnsi="新細明體" w:cs="標楷體"/>
          <w:kern w:val="3"/>
        </w:rPr>
        <w:t>•取自</w:t>
      </w:r>
      <w:hyperlink r:id="rId8" w:history="1">
        <w:r w:rsidRPr="00221E7F">
          <w:rPr>
            <w:rFonts w:ascii="新細明體" w:hAnsi="新細明體" w:cs="標楷體"/>
            <w:color w:val="00000A"/>
            <w:kern w:val="3"/>
          </w:rPr>
          <w:t>http://www.gvm.com.tw/view3.asp?wgvmno</w:t>
        </w:r>
      </w:hyperlink>
      <w:r w:rsidRPr="00221E7F">
        <w:rPr>
          <w:rFonts w:ascii="新細明體" w:hAnsi="新細明體" w:cs="標楷體"/>
          <w:kern w:val="3"/>
        </w:rPr>
        <w:t xml:space="preserve"> =413</w:t>
      </w:r>
    </w:p>
    <w:p w14:paraId="2CE8385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63C68D57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【雜誌文章，無作者】</w:t>
      </w:r>
    </w:p>
    <w:p w14:paraId="532928BB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 xml:space="preserve"> </w:t>
      </w:r>
    </w:p>
    <w:p w14:paraId="6D0C7DE0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台灣應用材料公司總經理吳子倩：做好知識管理才能保有優勢（2001年2月19日）。</w:t>
      </w:r>
      <w:r w:rsidRPr="00221E7F">
        <w:rPr>
          <w:rFonts w:ascii="新細明體" w:hAnsi="新細明體" w:cs="標楷體"/>
          <w:i/>
          <w:kern w:val="3"/>
        </w:rPr>
        <w:t>遠見雜誌網</w:t>
      </w:r>
      <w:r w:rsidRPr="00221E7F">
        <w:rPr>
          <w:rFonts w:ascii="新細明體" w:hAnsi="新細明體" w:cs="標楷體"/>
          <w:kern w:val="3"/>
        </w:rPr>
        <w:t>•取自http://www.gvm.com.tw/view2.asp?wgvmno=416&amp;orderno=1</w:t>
      </w:r>
    </w:p>
    <w:p w14:paraId="1345E274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B0D3B27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【媒體報導】</w:t>
      </w:r>
    </w:p>
    <w:p w14:paraId="45A33E27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22944918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陳揚盛（2001年2月20日）•基本學力測驗考慮加考國三下課程•</w:t>
      </w:r>
      <w:r w:rsidRPr="00221E7F">
        <w:rPr>
          <w:rFonts w:ascii="新細明體" w:hAnsi="新細明體" w:cs="標楷體"/>
          <w:i/>
          <w:kern w:val="3"/>
        </w:rPr>
        <w:t>台灣立報</w:t>
      </w:r>
      <w:r w:rsidRPr="00221E7F">
        <w:rPr>
          <w:rFonts w:ascii="新細明體" w:hAnsi="新細明體" w:cs="標楷體"/>
          <w:kern w:val="3"/>
        </w:rPr>
        <w:t>•取自http://lihpao.shu.edu.tw/</w:t>
      </w:r>
    </w:p>
    <w:p w14:paraId="2DC4D8E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73C24F83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【媒體報導，無作者】</w:t>
      </w:r>
    </w:p>
    <w:p w14:paraId="007151E0" w14:textId="77777777" w:rsidR="0065542D" w:rsidRPr="00221E7F" w:rsidRDefault="0065542D" w:rsidP="0065542D">
      <w:pPr>
        <w:suppressAutoHyphens/>
        <w:autoSpaceDN w:val="0"/>
        <w:spacing w:line="380" w:lineRule="atLeast"/>
        <w:ind w:right="65" w:firstLine="2"/>
        <w:textAlignment w:val="baseline"/>
        <w:rPr>
          <w:rFonts w:ascii="新細明體" w:hAnsi="新細明體" w:cs="標楷體"/>
          <w:kern w:val="3"/>
        </w:rPr>
      </w:pPr>
    </w:p>
    <w:p w14:paraId="165EA677" w14:textId="77777777" w:rsidR="0065542D" w:rsidRPr="00221E7F" w:rsidRDefault="0065542D" w:rsidP="0065542D">
      <w:pPr>
        <w:suppressAutoHyphens/>
        <w:autoSpaceDN w:val="0"/>
        <w:spacing w:line="380" w:lineRule="atLeast"/>
        <w:ind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推動知識經濟發展須腳踏實地（2000年9月5日）•</w:t>
      </w:r>
      <w:r w:rsidRPr="00221E7F">
        <w:rPr>
          <w:rFonts w:ascii="新細明體" w:hAnsi="新細明體" w:cs="標楷體"/>
          <w:i/>
          <w:kern w:val="3"/>
        </w:rPr>
        <w:t>中時電子報</w:t>
      </w:r>
      <w:r w:rsidRPr="00221E7F">
        <w:rPr>
          <w:rFonts w:ascii="新細明體" w:hAnsi="新細明體" w:cs="標楷體"/>
          <w:kern w:val="3"/>
        </w:rPr>
        <w:t>•取自</w:t>
      </w:r>
      <w:hyperlink r:id="rId9" w:history="1">
        <w:r w:rsidRPr="00221E7F">
          <w:rPr>
            <w:rFonts w:ascii="新細明體" w:hAnsi="新細明體" w:cs="標楷體"/>
            <w:color w:val="00000A"/>
            <w:kern w:val="3"/>
          </w:rPr>
          <w:t>http://ec.chinatimes.com.tw/scripts/</w:t>
        </w:r>
      </w:hyperlink>
      <w:r w:rsidRPr="00221E7F">
        <w:rPr>
          <w:rFonts w:ascii="新細明體" w:hAnsi="新細明體" w:cs="標楷體"/>
          <w:kern w:val="3"/>
        </w:rPr>
        <w:t>chinatimes/iscstext.exe?DB= ChinaTimes&amp;Function=ListDoc&amp;From=2&amp;Single=1</w:t>
      </w:r>
    </w:p>
    <w:p w14:paraId="4824DD87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49534F29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【摘要及資料庫資料】</w:t>
      </w:r>
    </w:p>
    <w:p w14:paraId="1C10A23A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452C45BD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葉芷嫻（2001）•國民教育階段九年一貫課程政策執行研究─國民中小學教育人員觀點之分析[摘要](未出版的碩士論文) •台北市立師範學院國民教育研究所•取自http://datas.ncl.edu.tw/ theabs/00/</w:t>
      </w:r>
    </w:p>
    <w:p w14:paraId="4E7C461E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09ABA4D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【單篇文章】</w:t>
      </w:r>
    </w:p>
    <w:p w14:paraId="1AE9E7CD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A6E766C" w14:textId="77777777" w:rsidR="0065542D" w:rsidRPr="00221E7F" w:rsidRDefault="0065542D" w:rsidP="0065542D">
      <w:pPr>
        <w:suppressAutoHyphens/>
        <w:autoSpaceDN w:val="0"/>
        <w:spacing w:line="380" w:lineRule="atLeast"/>
        <w:ind w:left="10" w:right="65" w:firstLine="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林天祐（2001年2月20日）•日本公立中小學不適任教師的處理構想•取自http://www.tmtc.edu.tw/~primary</w:t>
      </w:r>
    </w:p>
    <w:p w14:paraId="1AC1C3A3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67AF2C0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  <w:r w:rsidRPr="00221E7F">
        <w:rPr>
          <w:rFonts w:ascii="新細明體" w:hAnsi="新細明體" w:cs="標楷體"/>
          <w:kern w:val="3"/>
        </w:rPr>
        <w:t>【單篇文章，無作者】</w:t>
      </w:r>
    </w:p>
    <w:p w14:paraId="05BF5B83" w14:textId="77777777" w:rsidR="0065542D" w:rsidRPr="00221E7F" w:rsidRDefault="0065542D" w:rsidP="0065542D">
      <w:pPr>
        <w:suppressAutoHyphens/>
        <w:autoSpaceDN w:val="0"/>
        <w:spacing w:line="380" w:lineRule="atLeast"/>
        <w:ind w:left="372" w:right="65" w:hanging="372"/>
        <w:textAlignment w:val="baseline"/>
        <w:rPr>
          <w:rFonts w:ascii="新細明體" w:hAnsi="新細明體" w:cs="標楷體"/>
          <w:kern w:val="3"/>
        </w:rPr>
      </w:pPr>
    </w:p>
    <w:p w14:paraId="19266711" w14:textId="77777777" w:rsidR="0065542D" w:rsidRPr="00221E7F" w:rsidRDefault="0065542D" w:rsidP="0065542D">
      <w:pPr>
        <w:suppressAutoHyphens/>
        <w:autoSpaceDN w:val="0"/>
        <w:spacing w:line="380" w:lineRule="atLeast"/>
        <w:ind w:right="65" w:firstLine="2"/>
        <w:textAlignment w:val="baseline"/>
        <w:rPr>
          <w:kern w:val="3"/>
          <w:szCs w:val="20"/>
        </w:rPr>
      </w:pPr>
      <w:r w:rsidRPr="00221E7F">
        <w:rPr>
          <w:rFonts w:ascii="新細明體" w:hAnsi="新細明體" w:cs="標楷體"/>
          <w:kern w:val="3"/>
        </w:rPr>
        <w:t>什麼是高級中學多元入學？（2001年2月20日）•台北市：教育部•取自</w:t>
      </w:r>
      <w:hyperlink r:id="rId10" w:history="1">
        <w:r w:rsidRPr="00221E7F">
          <w:rPr>
            <w:rFonts w:ascii="新細明體" w:hAnsi="新細明體" w:cs="標楷體"/>
            <w:color w:val="00000A"/>
            <w:kern w:val="3"/>
          </w:rPr>
          <w:t>http://www.edu.tw/high-school/bbs/one-</w:t>
        </w:r>
      </w:hyperlink>
      <w:r w:rsidRPr="00221E7F">
        <w:rPr>
          <w:rFonts w:ascii="新細明體" w:hAnsi="新細明體" w:cs="標楷體"/>
          <w:kern w:val="3"/>
        </w:rPr>
        <w:t>1/one-1-1.htm</w:t>
      </w:r>
    </w:p>
    <w:p w14:paraId="714CACAC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rFonts w:ascii="新細明體" w:hAnsi="新細明體"/>
          <w:kern w:val="3"/>
        </w:rPr>
      </w:pPr>
    </w:p>
    <w:p w14:paraId="258936DA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二、英文部分</w:t>
      </w:r>
    </w:p>
    <w:p w14:paraId="1C0A001F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【公告事項】</w:t>
      </w:r>
    </w:p>
    <w:p w14:paraId="46B35E35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6A31F2E4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American Psychological Association. (1995, September 15). </w:t>
      </w:r>
      <w:r w:rsidRPr="00221E7F">
        <w:rPr>
          <w:rFonts w:ascii="新細明體" w:hAnsi="新細明體"/>
          <w:i/>
          <w:kern w:val="3"/>
        </w:rPr>
        <w:t>APA  public policy action alert: Legislation would affect gran recipients</w:t>
      </w:r>
      <w:r w:rsidRPr="00221E7F">
        <w:rPr>
          <w:rFonts w:ascii="新細明體" w:hAnsi="新細明體"/>
          <w:kern w:val="3"/>
        </w:rPr>
        <w:t xml:space="preserve"> [Announcement]. Washington, DC: Author. Retrieved January 25, 1996, from </w:t>
      </w:r>
      <w:hyperlink r:id="rId11" w:history="1">
        <w:r w:rsidRPr="00221E7F">
          <w:rPr>
            <w:rFonts w:ascii="新細明體" w:hAnsi="新細明體"/>
            <w:color w:val="00000A"/>
            <w:kern w:val="3"/>
          </w:rPr>
          <w:t>http://www.apa.org/ppo/</w:t>
        </w:r>
      </w:hyperlink>
      <w:r w:rsidRPr="00221E7F">
        <w:rPr>
          <w:rFonts w:ascii="新細明體" w:hAnsi="新細明體"/>
          <w:kern w:val="3"/>
        </w:rPr>
        <w:t>istook.html</w:t>
      </w:r>
    </w:p>
    <w:p w14:paraId="193FF44A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458B7E18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【期刊文章】</w:t>
      </w:r>
    </w:p>
    <w:p w14:paraId="137135F0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792EFC25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Jacobson, J. W., Mulick, J. A., &amp; Schwartz, A. A. (1995). A history of facilitated communication: Science, pseudoscience, and antiscience: Science working group on facilitated communication. </w:t>
      </w:r>
      <w:r w:rsidRPr="00221E7F">
        <w:rPr>
          <w:rFonts w:ascii="新細明體" w:hAnsi="新細明體"/>
          <w:i/>
          <w:kern w:val="3"/>
        </w:rPr>
        <w:t>American Psychologist, 50,</w:t>
      </w:r>
      <w:r w:rsidRPr="00221E7F">
        <w:rPr>
          <w:rFonts w:ascii="新細明體" w:hAnsi="新細明體"/>
          <w:kern w:val="3"/>
        </w:rPr>
        <w:t xml:space="preserve"> 750–765. Retrieved                  January 25, 1996, from </w:t>
      </w:r>
      <w:hyperlink r:id="rId12" w:history="1">
        <w:r w:rsidRPr="00221E7F">
          <w:rPr>
            <w:rFonts w:ascii="新細明體" w:hAnsi="新細明體"/>
            <w:color w:val="00000A"/>
            <w:kern w:val="3"/>
          </w:rPr>
          <w:t>http://www.apa.org/journals/</w:t>
        </w:r>
      </w:hyperlink>
      <w:r w:rsidRPr="00221E7F">
        <w:rPr>
          <w:rFonts w:ascii="新細明體" w:hAnsi="新細明體"/>
          <w:kern w:val="3"/>
        </w:rPr>
        <w:t>jacobson.html</w:t>
      </w:r>
    </w:p>
    <w:p w14:paraId="1A8C0DFB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0A011773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【雜誌文章，無作者】</w:t>
      </w:r>
    </w:p>
    <w:p w14:paraId="66ED5245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397A0373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From "character" to "personality": The lack of a generally accepted, unifying theory hasn't curbed research into the study of personality. (1999, December). </w:t>
      </w:r>
      <w:r w:rsidRPr="00221E7F">
        <w:rPr>
          <w:rFonts w:ascii="新細明體" w:hAnsi="新細明體"/>
          <w:i/>
          <w:kern w:val="3"/>
        </w:rPr>
        <w:t>APA Monitor, 30</w:t>
      </w:r>
      <w:r w:rsidRPr="00221E7F">
        <w:rPr>
          <w:rFonts w:ascii="新細明體" w:hAnsi="新細明體"/>
          <w:kern w:val="3"/>
        </w:rPr>
        <w:t>. Retrieved August 22, 2000, from http://www.apa.org/monitor/dec99/ss9.html</w:t>
      </w:r>
    </w:p>
    <w:p w14:paraId="18E31936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5B4AFC90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  <w:r w:rsidRPr="00221E7F">
        <w:rPr>
          <w:rFonts w:ascii="新細明體" w:hAnsi="新細明體"/>
          <w:kern w:val="3"/>
        </w:rPr>
        <w:t>【摘要資料】</w:t>
      </w:r>
    </w:p>
    <w:p w14:paraId="66C8193F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257D662C" w14:textId="77777777" w:rsidR="0065542D" w:rsidRPr="00221E7F" w:rsidRDefault="0065542D" w:rsidP="0065542D">
      <w:pPr>
        <w:suppressAutoHyphens/>
        <w:autoSpaceDN w:val="0"/>
        <w:spacing w:line="380" w:lineRule="atLeast"/>
        <w:ind w:left="480" w:hanging="480"/>
        <w:textAlignment w:val="baseline"/>
        <w:rPr>
          <w:kern w:val="3"/>
          <w:szCs w:val="20"/>
        </w:rPr>
      </w:pPr>
      <w:r w:rsidRPr="00221E7F">
        <w:rPr>
          <w:rFonts w:ascii="新細明體" w:hAnsi="新細明體"/>
          <w:kern w:val="3"/>
        </w:rPr>
        <w:t xml:space="preserve">Rosenthal, R. (1995). State of New Jersey v. Margaret Kelly Michaels: An overview [Abstract]. </w:t>
      </w:r>
      <w:r w:rsidRPr="00221E7F">
        <w:rPr>
          <w:rFonts w:ascii="新細明體" w:hAnsi="新細明體"/>
          <w:i/>
          <w:kern w:val="3"/>
        </w:rPr>
        <w:t>Psychology, Public Policy, and Law, 1,</w:t>
      </w:r>
      <w:r w:rsidRPr="00221E7F">
        <w:rPr>
          <w:rFonts w:ascii="新細明體" w:hAnsi="新細明體"/>
          <w:kern w:val="3"/>
        </w:rPr>
        <w:t xml:space="preserve"> 247–271. Retrieved January 25, 1996, from http://www.apa.org/journals/ab1.html</w:t>
      </w:r>
    </w:p>
    <w:p w14:paraId="56C5691E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/>
          <w:kern w:val="3"/>
        </w:rPr>
      </w:pPr>
    </w:p>
    <w:p w14:paraId="6E5E9A82" w14:textId="77777777" w:rsidR="0065542D" w:rsidRPr="00221E7F" w:rsidRDefault="0065542D" w:rsidP="0065542D">
      <w:pPr>
        <w:suppressAutoHyphens/>
        <w:autoSpaceDN w:val="0"/>
        <w:spacing w:line="380" w:lineRule="atLeast"/>
        <w:textAlignment w:val="baseline"/>
        <w:rPr>
          <w:rFonts w:ascii="新細明體" w:hAnsi="新細明體" w:hint="eastAsia"/>
          <w:kern w:val="3"/>
        </w:rPr>
      </w:pPr>
      <w:r w:rsidRPr="00221E7F">
        <w:rPr>
          <w:rFonts w:ascii="新細明體" w:hAnsi="新細明體"/>
          <w:kern w:val="3"/>
        </w:rPr>
        <w:t>【單篇文章，無作者】</w:t>
      </w:r>
    </w:p>
    <w:p w14:paraId="3E5A5BAC" w14:textId="77777777" w:rsidR="0065542D" w:rsidRPr="008521BE" w:rsidRDefault="0065542D" w:rsidP="0065542D">
      <w:pPr>
        <w:spacing w:line="400" w:lineRule="exact"/>
        <w:jc w:val="both"/>
        <w:rPr>
          <w:rFonts w:ascii="標楷體" w:eastAsia="標楷體"/>
          <w:sz w:val="28"/>
        </w:rPr>
      </w:pPr>
      <w:r w:rsidRPr="00221E7F">
        <w:rPr>
          <w:rFonts w:ascii="新細明體" w:hAnsi="新細明體"/>
          <w:i/>
          <w:kern w:val="3"/>
        </w:rPr>
        <w:t>Electronic reference formats recommended by the American Psychological Association.</w:t>
      </w:r>
      <w:r w:rsidRPr="00221E7F">
        <w:rPr>
          <w:rFonts w:ascii="新細明體" w:hAnsi="新細明體"/>
          <w:kern w:val="3"/>
        </w:rPr>
        <w:t xml:space="preserve"> (2000, August 22). Washington, DC: American Psychological Association. Retrieved August 29, 2000, from </w:t>
      </w:r>
      <w:hyperlink r:id="rId13" w:history="1">
        <w:r w:rsidRPr="00221E7F">
          <w:rPr>
            <w:rFonts w:ascii="新細明體" w:hAnsi="新細明體"/>
            <w:color w:val="00000A"/>
            <w:kern w:val="3"/>
          </w:rPr>
          <w:t>http://www.apa.org/journals/webref.html</w:t>
        </w:r>
      </w:hyperlink>
    </w:p>
    <w:p w14:paraId="4F7BF78C" w14:textId="77777777" w:rsidR="00D41412" w:rsidRPr="0065542D" w:rsidRDefault="00D41412">
      <w:bookmarkStart w:id="0" w:name="_GoBack"/>
      <w:bookmarkEnd w:id="0"/>
    </w:p>
    <w:sectPr w:rsidR="00D41412" w:rsidRPr="0065542D" w:rsidSect="00F10EE1">
      <w:pgSz w:w="11907" w:h="16840" w:code="9"/>
      <w:pgMar w:top="1134" w:right="1134" w:bottom="902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89B12" w14:textId="77777777" w:rsidR="0065542D" w:rsidRDefault="0065542D" w:rsidP="0065542D">
      <w:r>
        <w:separator/>
      </w:r>
    </w:p>
  </w:endnote>
  <w:endnote w:type="continuationSeparator" w:id="0">
    <w:p w14:paraId="6C334227" w14:textId="77777777" w:rsidR="0065542D" w:rsidRDefault="0065542D" w:rsidP="0065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5FFB3" w14:textId="77777777" w:rsidR="0065542D" w:rsidRDefault="0065542D" w:rsidP="0065542D">
      <w:r>
        <w:separator/>
      </w:r>
    </w:p>
  </w:footnote>
  <w:footnote w:type="continuationSeparator" w:id="0">
    <w:p w14:paraId="03512F9F" w14:textId="77777777" w:rsidR="0065542D" w:rsidRDefault="0065542D" w:rsidP="0065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11"/>
    <w:rsid w:val="0065542D"/>
    <w:rsid w:val="008B2F5D"/>
    <w:rsid w:val="00D33411"/>
    <w:rsid w:val="00D4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Line 5"/>
      </o:rules>
    </o:shapelayout>
  </w:shapeDefaults>
  <w:decimalSymbol w:val="."/>
  <w:listSeparator w:val=","/>
  <w15:chartTrackingRefBased/>
  <w15:docId w15:val="{B5B97663-8D4E-41F8-80CA-9C5A6408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42D"/>
    <w:pPr>
      <w:widowControl w:val="0"/>
      <w:spacing w:before="0"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2F5D"/>
    <w:pPr>
      <w:widowControl/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5D"/>
    <w:pPr>
      <w:widowControl/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5D"/>
    <w:pPr>
      <w:widowControl/>
      <w:pBdr>
        <w:top w:val="single" w:sz="6" w:space="2" w:color="90C226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476013" w:themeColor="accent1" w:themeShade="7F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5D"/>
    <w:pPr>
      <w:widowControl/>
      <w:pBdr>
        <w:top w:val="dotted" w:sz="6" w:space="2" w:color="90C226" w:themeColor="accent1"/>
      </w:pBdr>
      <w:spacing w:before="200" w:line="276" w:lineRule="auto"/>
      <w:outlineLvl w:val="3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5D"/>
    <w:pPr>
      <w:widowControl/>
      <w:pBdr>
        <w:bottom w:val="single" w:sz="6" w:space="1" w:color="90C226" w:themeColor="accent1"/>
      </w:pBdr>
      <w:spacing w:before="200" w:line="276" w:lineRule="auto"/>
      <w:outlineLvl w:val="4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5D"/>
    <w:pPr>
      <w:widowControl/>
      <w:pBdr>
        <w:bottom w:val="dotted" w:sz="6" w:space="1" w:color="90C226" w:themeColor="accent1"/>
      </w:pBdr>
      <w:spacing w:before="200" w:line="276" w:lineRule="auto"/>
      <w:outlineLvl w:val="5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5D"/>
    <w:pPr>
      <w:widowControl/>
      <w:spacing w:before="200" w:line="276" w:lineRule="auto"/>
      <w:outlineLvl w:val="6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5D"/>
    <w:pPr>
      <w:widowControl/>
      <w:spacing w:before="200" w:line="276" w:lineRule="auto"/>
      <w:outlineLvl w:val="7"/>
    </w:pPr>
    <w:rPr>
      <w:rFonts w:asciiTheme="minorHAnsi" w:eastAsiaTheme="minorEastAsia" w:hAnsiTheme="minorHAnsi" w:cstheme="minorBidi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5D"/>
    <w:pPr>
      <w:widowControl/>
      <w:spacing w:before="200" w:line="276" w:lineRule="auto"/>
      <w:outlineLvl w:val="8"/>
    </w:pPr>
    <w:rPr>
      <w:rFonts w:asciiTheme="minorHAnsi" w:eastAsiaTheme="minorEastAsia" w:hAnsiTheme="minorHAnsi" w:cstheme="minorBidi"/>
      <w:i/>
      <w:iCs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2F5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標題 2 字元"/>
    <w:basedOn w:val="a0"/>
    <w:link w:val="2"/>
    <w:uiPriority w:val="9"/>
    <w:semiHidden/>
    <w:rsid w:val="008B2F5D"/>
    <w:rPr>
      <w:caps/>
      <w:spacing w:val="15"/>
      <w:shd w:val="clear" w:color="auto" w:fill="E9F6D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8B2F5D"/>
    <w:rPr>
      <w:caps/>
      <w:color w:val="47601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8B2F5D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8B2F5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B2F5D"/>
    <w:rPr>
      <w:b/>
      <w:bCs/>
      <w:color w:val="6B911C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B2F5D"/>
    <w:pPr>
      <w:widowControl/>
      <w:spacing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kern w:val="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8B2F5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2F5D"/>
    <w:pPr>
      <w:widowControl/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kern w:val="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8B2F5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B2F5D"/>
    <w:rPr>
      <w:b/>
      <w:bCs/>
    </w:rPr>
  </w:style>
  <w:style w:type="character" w:styleId="a9">
    <w:name w:val="Emphasis"/>
    <w:uiPriority w:val="20"/>
    <w:qFormat/>
    <w:rsid w:val="008B2F5D"/>
    <w:rPr>
      <w:caps/>
      <w:color w:val="476013" w:themeColor="accent1" w:themeShade="7F"/>
      <w:spacing w:val="5"/>
    </w:rPr>
  </w:style>
  <w:style w:type="paragraph" w:styleId="aa">
    <w:name w:val="No Spacing"/>
    <w:uiPriority w:val="1"/>
    <w:qFormat/>
    <w:rsid w:val="008B2F5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B2F5D"/>
    <w:pPr>
      <w:widowControl/>
      <w:spacing w:before="100" w:after="200" w:line="276" w:lineRule="auto"/>
    </w:pPr>
    <w:rPr>
      <w:rFonts w:asciiTheme="minorHAnsi" w:eastAsiaTheme="minorEastAsia" w:hAnsiTheme="minorHAnsi" w:cstheme="minorBidi"/>
      <w:i/>
      <w:iCs/>
      <w:kern w:val="0"/>
    </w:rPr>
  </w:style>
  <w:style w:type="character" w:customStyle="1" w:styleId="ac">
    <w:name w:val="引文 字元"/>
    <w:basedOn w:val="a0"/>
    <w:link w:val="ab"/>
    <w:uiPriority w:val="29"/>
    <w:rsid w:val="008B2F5D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2F5D"/>
    <w:pPr>
      <w:widowControl/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90C226" w:themeColor="accent1"/>
      <w:kern w:val="0"/>
    </w:rPr>
  </w:style>
  <w:style w:type="character" w:customStyle="1" w:styleId="ae">
    <w:name w:val="鮮明引文 字元"/>
    <w:basedOn w:val="a0"/>
    <w:link w:val="ad"/>
    <w:uiPriority w:val="30"/>
    <w:rsid w:val="008B2F5D"/>
    <w:rPr>
      <w:color w:val="90C226" w:themeColor="accent1"/>
      <w:sz w:val="24"/>
      <w:szCs w:val="24"/>
    </w:rPr>
  </w:style>
  <w:style w:type="character" w:styleId="af">
    <w:name w:val="Subtle Emphasis"/>
    <w:uiPriority w:val="19"/>
    <w:qFormat/>
    <w:rsid w:val="008B2F5D"/>
    <w:rPr>
      <w:i/>
      <w:iCs/>
      <w:color w:val="476013" w:themeColor="accent1" w:themeShade="7F"/>
    </w:rPr>
  </w:style>
  <w:style w:type="character" w:styleId="af0">
    <w:name w:val="Intense Emphasis"/>
    <w:uiPriority w:val="21"/>
    <w:qFormat/>
    <w:rsid w:val="008B2F5D"/>
    <w:rPr>
      <w:b/>
      <w:bCs/>
      <w:caps/>
      <w:color w:val="476013" w:themeColor="accent1" w:themeShade="7F"/>
      <w:spacing w:val="10"/>
    </w:rPr>
  </w:style>
  <w:style w:type="character" w:styleId="af1">
    <w:name w:val="Subtle Reference"/>
    <w:uiPriority w:val="31"/>
    <w:qFormat/>
    <w:rsid w:val="008B2F5D"/>
    <w:rPr>
      <w:b/>
      <w:bCs/>
      <w:color w:val="90C226" w:themeColor="accent1"/>
    </w:rPr>
  </w:style>
  <w:style w:type="character" w:styleId="af2">
    <w:name w:val="Intense Reference"/>
    <w:uiPriority w:val="32"/>
    <w:qFormat/>
    <w:rsid w:val="008B2F5D"/>
    <w:rPr>
      <w:b/>
      <w:bCs/>
      <w:i/>
      <w:iCs/>
      <w:caps/>
      <w:color w:val="90C226" w:themeColor="accent1"/>
    </w:rPr>
  </w:style>
  <w:style w:type="character" w:styleId="af3">
    <w:name w:val="Book Title"/>
    <w:uiPriority w:val="33"/>
    <w:qFormat/>
    <w:rsid w:val="008B2F5D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B2F5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65542D"/>
    <w:pPr>
      <w:widowControl/>
      <w:tabs>
        <w:tab w:val="center" w:pos="4153"/>
        <w:tab w:val="right" w:pos="8306"/>
      </w:tabs>
      <w:snapToGrid w:val="0"/>
      <w:spacing w:before="100"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65542D"/>
  </w:style>
  <w:style w:type="paragraph" w:styleId="af7">
    <w:name w:val="footer"/>
    <w:basedOn w:val="a"/>
    <w:link w:val="af8"/>
    <w:uiPriority w:val="99"/>
    <w:unhideWhenUsed/>
    <w:rsid w:val="0065542D"/>
    <w:pPr>
      <w:widowControl/>
      <w:tabs>
        <w:tab w:val="center" w:pos="4153"/>
        <w:tab w:val="right" w:pos="8306"/>
      </w:tabs>
      <w:snapToGrid w:val="0"/>
      <w:spacing w:before="100"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65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m.com.tw/view3.asp?wgvmno" TargetMode="External"/><Relationship Id="rId13" Type="http://schemas.openxmlformats.org/officeDocument/2006/relationships/hyperlink" Target="http://www.apa.org/journals/webref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oerar.edu.tw/basis3/37/a11.htm" TargetMode="External"/><Relationship Id="rId12" Type="http://schemas.openxmlformats.org/officeDocument/2006/relationships/hyperlink" Target="http://www.apa.org/journa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tw/" TargetMode="External"/><Relationship Id="rId11" Type="http://schemas.openxmlformats.org/officeDocument/2006/relationships/hyperlink" Target="http://www.apa.org/ppo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du.tw/high-school/bbs/one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c.chinatimes.com.tw/scrip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3510</Characters>
  <Application>Microsoft Office Word</Application>
  <DocSecurity>0</DocSecurity>
  <Lines>29</Lines>
  <Paragraphs>8</Paragraphs>
  <ScaleCrop>false</ScaleCrop>
  <Company>ymhs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何詩欽</dc:creator>
  <cp:keywords/>
  <dc:description/>
  <cp:lastModifiedBy>何詩欽</cp:lastModifiedBy>
  <cp:revision>2</cp:revision>
  <dcterms:created xsi:type="dcterms:W3CDTF">2021-01-28T03:28:00Z</dcterms:created>
  <dcterms:modified xsi:type="dcterms:W3CDTF">2021-01-28T03:29:00Z</dcterms:modified>
</cp:coreProperties>
</file>